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77293" w14:textId="77777777" w:rsidR="007765C2" w:rsidRPr="007765C2" w:rsidRDefault="007765C2" w:rsidP="007765C2">
      <w:pPr>
        <w:jc w:val="center"/>
        <w:rPr>
          <w:rFonts w:ascii="Aptos" w:hAnsi="Aptos"/>
          <w:b/>
          <w:bCs/>
          <w:sz w:val="20"/>
          <w:szCs w:val="20"/>
        </w:rPr>
      </w:pPr>
      <w:r w:rsidRPr="007765C2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56735B93" w14:textId="00A36D67" w:rsidR="007765C2" w:rsidRPr="007765C2" w:rsidRDefault="007765C2" w:rsidP="007765C2">
      <w:pPr>
        <w:jc w:val="center"/>
        <w:rPr>
          <w:rFonts w:ascii="Aptos" w:hAnsi="Aptos"/>
          <w:b/>
          <w:bCs/>
          <w:sz w:val="20"/>
          <w:szCs w:val="20"/>
        </w:rPr>
      </w:pPr>
      <w:r w:rsidRPr="007765C2">
        <w:rPr>
          <w:rFonts w:ascii="Aptos" w:hAnsi="Aptos"/>
          <w:b/>
          <w:bCs/>
          <w:sz w:val="20"/>
          <w:szCs w:val="20"/>
        </w:rPr>
        <w:t>Centrala monitorująca</w:t>
      </w:r>
    </w:p>
    <w:p w14:paraId="228CFF01" w14:textId="77777777" w:rsidR="007765C2" w:rsidRPr="007765C2" w:rsidRDefault="007765C2" w:rsidP="007765C2">
      <w:pPr>
        <w:jc w:val="center"/>
        <w:rPr>
          <w:rFonts w:ascii="Aptos" w:hAnsi="Aptos"/>
          <w:b/>
          <w:bCs/>
          <w:sz w:val="20"/>
          <w:szCs w:val="20"/>
        </w:rPr>
      </w:pPr>
    </w:p>
    <w:p w14:paraId="1DC12068" w14:textId="77777777" w:rsidR="007765C2" w:rsidRPr="007765C2" w:rsidRDefault="007765C2" w:rsidP="007765C2">
      <w:pPr>
        <w:rPr>
          <w:rFonts w:ascii="Aptos" w:hAnsi="Aptos"/>
          <w:b/>
          <w:bCs/>
          <w:sz w:val="20"/>
          <w:szCs w:val="20"/>
        </w:rPr>
      </w:pPr>
    </w:p>
    <w:p w14:paraId="7CFA5697" w14:textId="77777777" w:rsidR="007765C2" w:rsidRPr="007765C2" w:rsidRDefault="007765C2" w:rsidP="007765C2">
      <w:pPr>
        <w:rPr>
          <w:rFonts w:ascii="Aptos" w:hAnsi="Aptos"/>
          <w:b/>
          <w:bCs/>
          <w:sz w:val="20"/>
          <w:szCs w:val="20"/>
        </w:rPr>
      </w:pPr>
    </w:p>
    <w:p w14:paraId="161F92B9" w14:textId="1505076B" w:rsidR="007765C2" w:rsidRPr="007765C2" w:rsidRDefault="007765C2" w:rsidP="007765C2">
      <w:pPr>
        <w:rPr>
          <w:rFonts w:ascii="Aptos" w:hAnsi="Aptos"/>
          <w:b/>
          <w:bCs/>
          <w:sz w:val="20"/>
          <w:szCs w:val="20"/>
        </w:rPr>
      </w:pPr>
      <w:r w:rsidRPr="007765C2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14:paraId="02266361" w14:textId="77777777" w:rsidR="007765C2" w:rsidRPr="007765C2" w:rsidRDefault="007765C2">
      <w:pPr>
        <w:rPr>
          <w:rFonts w:ascii="Aptos" w:hAnsi="Aptos"/>
          <w:sz w:val="20"/>
          <w:szCs w:val="20"/>
        </w:rPr>
      </w:pPr>
    </w:p>
    <w:p w14:paraId="0F88C8F0" w14:textId="77777777" w:rsidR="007765C2" w:rsidRPr="007765C2" w:rsidRDefault="007765C2">
      <w:pPr>
        <w:rPr>
          <w:rFonts w:ascii="Aptos" w:hAnsi="Aptos"/>
          <w:sz w:val="20"/>
          <w:szCs w:val="20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6702"/>
        <w:gridCol w:w="2410"/>
        <w:gridCol w:w="4253"/>
      </w:tblGrid>
      <w:tr w:rsidR="00246F6C" w:rsidRPr="007765C2" w14:paraId="05896189" w14:textId="77777777" w:rsidTr="007765C2">
        <w:trPr>
          <w:jc w:val="center"/>
        </w:trPr>
        <w:tc>
          <w:tcPr>
            <w:tcW w:w="664" w:type="dxa"/>
            <w:vAlign w:val="center"/>
          </w:tcPr>
          <w:p w14:paraId="2F9488A4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6702" w:type="dxa"/>
            <w:vAlign w:val="center"/>
          </w:tcPr>
          <w:p w14:paraId="704ABEC9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410" w:type="dxa"/>
            <w:vAlign w:val="center"/>
          </w:tcPr>
          <w:p w14:paraId="7E862299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vAlign w:val="center"/>
          </w:tcPr>
          <w:p w14:paraId="7AEA31E7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246F6C" w:rsidRPr="007765C2" w14:paraId="06BE7915" w14:textId="77777777" w:rsidTr="00B74443">
        <w:trPr>
          <w:jc w:val="center"/>
        </w:trPr>
        <w:tc>
          <w:tcPr>
            <w:tcW w:w="14029" w:type="dxa"/>
            <w:gridSpan w:val="4"/>
            <w:vAlign w:val="center"/>
          </w:tcPr>
          <w:p w14:paraId="026F6691" w14:textId="77777777" w:rsidR="00246F6C" w:rsidRPr="007765C2" w:rsidRDefault="00246F6C" w:rsidP="00B74443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Centrala monitorująca </w:t>
            </w:r>
          </w:p>
        </w:tc>
      </w:tr>
      <w:tr w:rsidR="00246F6C" w:rsidRPr="007765C2" w14:paraId="2AC8CE47" w14:textId="77777777" w:rsidTr="007765C2">
        <w:trPr>
          <w:jc w:val="center"/>
        </w:trPr>
        <w:tc>
          <w:tcPr>
            <w:tcW w:w="664" w:type="dxa"/>
            <w:vAlign w:val="center"/>
          </w:tcPr>
          <w:p w14:paraId="5437DB25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1.</w:t>
            </w:r>
          </w:p>
        </w:tc>
        <w:tc>
          <w:tcPr>
            <w:tcW w:w="6702" w:type="dxa"/>
            <w:vAlign w:val="center"/>
          </w:tcPr>
          <w:p w14:paraId="7DDEF3F8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Typ/ model/ producent wyrobu medycznego)</w:t>
            </w:r>
          </w:p>
        </w:tc>
        <w:tc>
          <w:tcPr>
            <w:tcW w:w="2410" w:type="dxa"/>
            <w:vAlign w:val="center"/>
          </w:tcPr>
          <w:p w14:paraId="6D426455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4253" w:type="dxa"/>
            <w:vAlign w:val="center"/>
          </w:tcPr>
          <w:p w14:paraId="270FF8CE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169B1DEC" w14:textId="77777777" w:rsidTr="007765C2">
        <w:trPr>
          <w:jc w:val="center"/>
        </w:trPr>
        <w:tc>
          <w:tcPr>
            <w:tcW w:w="664" w:type="dxa"/>
            <w:vAlign w:val="center"/>
          </w:tcPr>
          <w:p w14:paraId="749E52A8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 xml:space="preserve">2. </w:t>
            </w:r>
          </w:p>
        </w:tc>
        <w:tc>
          <w:tcPr>
            <w:tcW w:w="6702" w:type="dxa"/>
            <w:vAlign w:val="center"/>
          </w:tcPr>
          <w:p w14:paraId="78D5E134" w14:textId="05891D4E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 xml:space="preserve">Stacja centralnego monitorowania umożliwiająca podłączenie do </w:t>
            </w:r>
            <w:r w:rsidR="00895EAC" w:rsidRPr="007765C2">
              <w:rPr>
                <w:rFonts w:ascii="Aptos" w:hAnsi="Aptos" w:cstheme="majorHAnsi"/>
                <w:sz w:val="20"/>
                <w:szCs w:val="20"/>
              </w:rPr>
              <w:t xml:space="preserve">minimum </w:t>
            </w:r>
            <w:r w:rsidR="00446947" w:rsidRPr="007765C2">
              <w:rPr>
                <w:rFonts w:ascii="Aptos" w:hAnsi="Aptos" w:cstheme="majorHAnsi"/>
                <w:sz w:val="20"/>
                <w:szCs w:val="20"/>
              </w:rPr>
              <w:t>16 stanowisk</w:t>
            </w:r>
            <w:r w:rsidRPr="007765C2">
              <w:rPr>
                <w:rFonts w:ascii="Aptos" w:hAnsi="Aptos" w:cstheme="majorHAnsi"/>
                <w:sz w:val="20"/>
                <w:szCs w:val="20"/>
              </w:rPr>
              <w:t xml:space="preserve"> monitorowania bez konieczności rozbudowywania oprogramowania o dodatkowe opcje</w:t>
            </w:r>
          </w:p>
        </w:tc>
        <w:tc>
          <w:tcPr>
            <w:tcW w:w="2410" w:type="dxa"/>
            <w:vAlign w:val="center"/>
          </w:tcPr>
          <w:p w14:paraId="402D7091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A443B13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788665AC" w14:textId="77777777" w:rsidTr="007765C2">
        <w:trPr>
          <w:jc w:val="center"/>
        </w:trPr>
        <w:tc>
          <w:tcPr>
            <w:tcW w:w="664" w:type="dxa"/>
            <w:vAlign w:val="center"/>
          </w:tcPr>
          <w:p w14:paraId="57D7AE4A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3.</w:t>
            </w:r>
          </w:p>
        </w:tc>
        <w:tc>
          <w:tcPr>
            <w:tcW w:w="6702" w:type="dxa"/>
            <w:vAlign w:val="center"/>
          </w:tcPr>
          <w:p w14:paraId="084638A2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Jednoczesny podgląd parametrów ze wszystkich podłączonych do centrali monitorów pacjenta z funkcją indywidualnej konfiguracji pól poszczególnych monitorów (ilość i układ krzywych oraz wartości parametrów)</w:t>
            </w:r>
          </w:p>
        </w:tc>
        <w:tc>
          <w:tcPr>
            <w:tcW w:w="2410" w:type="dxa"/>
            <w:vAlign w:val="center"/>
          </w:tcPr>
          <w:p w14:paraId="08F759F9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4436500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757F20AC" w14:textId="77777777" w:rsidTr="007765C2">
        <w:trPr>
          <w:jc w:val="center"/>
        </w:trPr>
        <w:tc>
          <w:tcPr>
            <w:tcW w:w="664" w:type="dxa"/>
            <w:vAlign w:val="center"/>
          </w:tcPr>
          <w:p w14:paraId="56F76BEC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 xml:space="preserve">4. </w:t>
            </w:r>
          </w:p>
        </w:tc>
        <w:tc>
          <w:tcPr>
            <w:tcW w:w="6702" w:type="dxa"/>
            <w:vAlign w:val="center"/>
          </w:tcPr>
          <w:p w14:paraId="6CF42110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Możliwość pełnego podglądu wybranego monitor pacjenta (wszystkie krzywe i wartości parametrów)</w:t>
            </w:r>
          </w:p>
        </w:tc>
        <w:tc>
          <w:tcPr>
            <w:tcW w:w="2410" w:type="dxa"/>
            <w:vAlign w:val="center"/>
          </w:tcPr>
          <w:p w14:paraId="6CA544F7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B53B623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24AA0E31" w14:textId="77777777" w:rsidTr="007765C2">
        <w:trPr>
          <w:jc w:val="center"/>
        </w:trPr>
        <w:tc>
          <w:tcPr>
            <w:tcW w:w="664" w:type="dxa"/>
            <w:vAlign w:val="center"/>
          </w:tcPr>
          <w:p w14:paraId="29155D06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5.</w:t>
            </w:r>
          </w:p>
        </w:tc>
        <w:tc>
          <w:tcPr>
            <w:tcW w:w="6702" w:type="dxa"/>
            <w:vAlign w:val="center"/>
          </w:tcPr>
          <w:p w14:paraId="339E7071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Centrala zainstalowana na komputerze połączonym z dwoma ekranami każdym o przekątnej co najmniej 23”</w:t>
            </w:r>
          </w:p>
        </w:tc>
        <w:tc>
          <w:tcPr>
            <w:tcW w:w="2410" w:type="dxa"/>
            <w:vAlign w:val="center"/>
          </w:tcPr>
          <w:p w14:paraId="604C80E8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1FA26A9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2F11BAE2" w14:textId="77777777" w:rsidTr="007765C2">
        <w:trPr>
          <w:jc w:val="center"/>
        </w:trPr>
        <w:tc>
          <w:tcPr>
            <w:tcW w:w="664" w:type="dxa"/>
            <w:vAlign w:val="center"/>
          </w:tcPr>
          <w:p w14:paraId="2AEF3DC0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6.</w:t>
            </w:r>
          </w:p>
        </w:tc>
        <w:tc>
          <w:tcPr>
            <w:tcW w:w="6702" w:type="dxa"/>
          </w:tcPr>
          <w:p w14:paraId="3720C152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Wyświetlanie na ekranie centrali analizy załamka ST w formie graficznej, pokazujący w czasie rzeczywistym odchylenie wartości ST od linii odniesienia.</w:t>
            </w:r>
          </w:p>
        </w:tc>
        <w:tc>
          <w:tcPr>
            <w:tcW w:w="2410" w:type="dxa"/>
            <w:vAlign w:val="center"/>
          </w:tcPr>
          <w:p w14:paraId="7EA54712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5A4670A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0D344101" w14:textId="77777777" w:rsidTr="007765C2">
        <w:trPr>
          <w:jc w:val="center"/>
        </w:trPr>
        <w:tc>
          <w:tcPr>
            <w:tcW w:w="664" w:type="dxa"/>
            <w:vAlign w:val="center"/>
          </w:tcPr>
          <w:p w14:paraId="563B382E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7.</w:t>
            </w:r>
          </w:p>
        </w:tc>
        <w:tc>
          <w:tcPr>
            <w:tcW w:w="6702" w:type="dxa"/>
          </w:tcPr>
          <w:p w14:paraId="38E732E0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Wpisywanie danych demograficznych pacjenta w centrali i w monitorach</w:t>
            </w:r>
          </w:p>
        </w:tc>
        <w:tc>
          <w:tcPr>
            <w:tcW w:w="2410" w:type="dxa"/>
            <w:vAlign w:val="center"/>
          </w:tcPr>
          <w:p w14:paraId="18978003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716B541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15973AAF" w14:textId="77777777" w:rsidTr="007765C2">
        <w:trPr>
          <w:jc w:val="center"/>
        </w:trPr>
        <w:tc>
          <w:tcPr>
            <w:tcW w:w="664" w:type="dxa"/>
            <w:vAlign w:val="center"/>
          </w:tcPr>
          <w:p w14:paraId="28AE744B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8.</w:t>
            </w:r>
          </w:p>
        </w:tc>
        <w:tc>
          <w:tcPr>
            <w:tcW w:w="6702" w:type="dxa"/>
            <w:vAlign w:val="center"/>
          </w:tcPr>
          <w:p w14:paraId="47B02C2D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Pamięć ciągłego zapisu monitorowanych przebiegów falowych (EKG+inne) - z ostatnich min. 240 godzin</w:t>
            </w:r>
          </w:p>
        </w:tc>
        <w:tc>
          <w:tcPr>
            <w:tcW w:w="2410" w:type="dxa"/>
            <w:vAlign w:val="center"/>
          </w:tcPr>
          <w:p w14:paraId="4C9B8666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57FDEE9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7A29DB7D" w14:textId="77777777" w:rsidTr="007765C2">
        <w:trPr>
          <w:jc w:val="center"/>
        </w:trPr>
        <w:tc>
          <w:tcPr>
            <w:tcW w:w="664" w:type="dxa"/>
            <w:vAlign w:val="center"/>
          </w:tcPr>
          <w:p w14:paraId="65B2FB3A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9.</w:t>
            </w:r>
          </w:p>
        </w:tc>
        <w:tc>
          <w:tcPr>
            <w:tcW w:w="6702" w:type="dxa"/>
            <w:vAlign w:val="center"/>
          </w:tcPr>
          <w:p w14:paraId="1E5CCDFE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 xml:space="preserve">Drukarka laserowa do wydruków trendów </w:t>
            </w:r>
            <w:r w:rsidRPr="007765C2">
              <w:rPr>
                <w:rFonts w:ascii="Aptos" w:hAnsi="Aptos" w:cstheme="majorHAnsi"/>
                <w:sz w:val="20"/>
                <w:szCs w:val="20"/>
              </w:rPr>
              <w:br/>
              <w:t>i raportów na standardowym papierze A4; wbudowane łącze do sieci Ethernet</w:t>
            </w:r>
          </w:p>
        </w:tc>
        <w:tc>
          <w:tcPr>
            <w:tcW w:w="2410" w:type="dxa"/>
            <w:vAlign w:val="center"/>
          </w:tcPr>
          <w:p w14:paraId="69574EA8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5716483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20C629FC" w14:textId="77777777" w:rsidTr="007765C2">
        <w:trPr>
          <w:jc w:val="center"/>
        </w:trPr>
        <w:tc>
          <w:tcPr>
            <w:tcW w:w="664" w:type="dxa"/>
            <w:vAlign w:val="center"/>
          </w:tcPr>
          <w:p w14:paraId="32D64BD0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 xml:space="preserve">10. </w:t>
            </w:r>
          </w:p>
        </w:tc>
        <w:tc>
          <w:tcPr>
            <w:tcW w:w="6702" w:type="dxa"/>
            <w:vAlign w:val="center"/>
          </w:tcPr>
          <w:p w14:paraId="622738B6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Funkcja ustawiania trybu prywatnego z poziomu centrali indywidualnie w poszczególnych monitorów pacjenta</w:t>
            </w:r>
          </w:p>
        </w:tc>
        <w:tc>
          <w:tcPr>
            <w:tcW w:w="2410" w:type="dxa"/>
            <w:vAlign w:val="center"/>
          </w:tcPr>
          <w:p w14:paraId="15B78944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D19C5CD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0F337C86" w14:textId="77777777" w:rsidTr="007765C2">
        <w:trPr>
          <w:jc w:val="center"/>
        </w:trPr>
        <w:tc>
          <w:tcPr>
            <w:tcW w:w="664" w:type="dxa"/>
            <w:vAlign w:val="center"/>
          </w:tcPr>
          <w:p w14:paraId="6D455A39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11.</w:t>
            </w:r>
          </w:p>
        </w:tc>
        <w:tc>
          <w:tcPr>
            <w:tcW w:w="6702" w:type="dxa"/>
            <w:vAlign w:val="center"/>
          </w:tcPr>
          <w:p w14:paraId="18A326F5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color w:val="000000"/>
                <w:sz w:val="20"/>
                <w:szCs w:val="20"/>
              </w:rPr>
              <w:t>Funkcja ustawiania trybu prywatnego z poziomu centrali we wszystkich monitorach pacjenta jednocześnie</w:t>
            </w:r>
          </w:p>
        </w:tc>
        <w:tc>
          <w:tcPr>
            <w:tcW w:w="2410" w:type="dxa"/>
            <w:vAlign w:val="center"/>
          </w:tcPr>
          <w:p w14:paraId="461A4E5C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A3CF297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4686D969" w14:textId="77777777" w:rsidTr="007765C2">
        <w:trPr>
          <w:jc w:val="center"/>
        </w:trPr>
        <w:tc>
          <w:tcPr>
            <w:tcW w:w="664" w:type="dxa"/>
            <w:vAlign w:val="center"/>
          </w:tcPr>
          <w:p w14:paraId="453CE949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lastRenderedPageBreak/>
              <w:t>12.</w:t>
            </w:r>
          </w:p>
        </w:tc>
        <w:tc>
          <w:tcPr>
            <w:tcW w:w="6702" w:type="dxa"/>
            <w:vAlign w:val="center"/>
          </w:tcPr>
          <w:p w14:paraId="4CCE6FBC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color w:val="000000"/>
                <w:sz w:val="20"/>
                <w:szCs w:val="20"/>
              </w:rPr>
              <w:t>Funkcja zdalnego programowania układu krzywych i wartości parametrów na wybranym monitorze pacjenta</w:t>
            </w:r>
          </w:p>
        </w:tc>
        <w:tc>
          <w:tcPr>
            <w:tcW w:w="2410" w:type="dxa"/>
            <w:vAlign w:val="center"/>
          </w:tcPr>
          <w:p w14:paraId="26A14D73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524F991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3EA0EA59" w14:textId="77777777" w:rsidTr="007765C2">
        <w:trPr>
          <w:jc w:val="center"/>
        </w:trPr>
        <w:tc>
          <w:tcPr>
            <w:tcW w:w="664" w:type="dxa"/>
            <w:vAlign w:val="center"/>
          </w:tcPr>
          <w:p w14:paraId="3E4F71A7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13.</w:t>
            </w:r>
          </w:p>
        </w:tc>
        <w:tc>
          <w:tcPr>
            <w:tcW w:w="6702" w:type="dxa"/>
            <w:vAlign w:val="center"/>
          </w:tcPr>
          <w:p w14:paraId="08C7EBB6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color w:val="000000"/>
                <w:sz w:val="20"/>
                <w:szCs w:val="20"/>
              </w:rPr>
              <w:t>Funkcja ustawiania trybu nocnego z poziomu centrali indywidualnie w poszczególnych monitorów pacjenta</w:t>
            </w:r>
          </w:p>
        </w:tc>
        <w:tc>
          <w:tcPr>
            <w:tcW w:w="2410" w:type="dxa"/>
            <w:vAlign w:val="center"/>
          </w:tcPr>
          <w:p w14:paraId="78AA6900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C8B1492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1354F1C5" w14:textId="77777777" w:rsidTr="007765C2">
        <w:trPr>
          <w:jc w:val="center"/>
        </w:trPr>
        <w:tc>
          <w:tcPr>
            <w:tcW w:w="664" w:type="dxa"/>
            <w:vAlign w:val="center"/>
          </w:tcPr>
          <w:p w14:paraId="3E4B32D9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14.</w:t>
            </w:r>
          </w:p>
        </w:tc>
        <w:tc>
          <w:tcPr>
            <w:tcW w:w="6702" w:type="dxa"/>
          </w:tcPr>
          <w:p w14:paraId="65EA727E" w14:textId="49714639" w:rsidR="00246F6C" w:rsidRPr="007765C2" w:rsidRDefault="00446947" w:rsidP="00B74443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Możliwość rozbudowy</w:t>
            </w:r>
            <w:r w:rsidR="00246F6C" w:rsidRPr="007765C2">
              <w:rPr>
                <w:rFonts w:ascii="Aptos" w:hAnsi="Aptos" w:cstheme="majorHAnsi"/>
                <w:sz w:val="20"/>
                <w:szCs w:val="20"/>
              </w:rPr>
              <w:t xml:space="preserve"> o bezpośrednie podłączenie do centrali respiratorów (poprzez sieć LAN/WiFi)</w:t>
            </w:r>
          </w:p>
        </w:tc>
        <w:tc>
          <w:tcPr>
            <w:tcW w:w="2410" w:type="dxa"/>
            <w:vAlign w:val="center"/>
          </w:tcPr>
          <w:p w14:paraId="6E37266F" w14:textId="718D8BD7" w:rsidR="007765C2" w:rsidRPr="007765C2" w:rsidRDefault="00246F6C" w:rsidP="007765C2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54CA6849" w14:textId="05B495E1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14:paraId="740F8B03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246F6C" w:rsidRPr="007765C2" w14:paraId="49A7CA61" w14:textId="77777777" w:rsidTr="007765C2">
        <w:trPr>
          <w:jc w:val="center"/>
        </w:trPr>
        <w:tc>
          <w:tcPr>
            <w:tcW w:w="664" w:type="dxa"/>
            <w:vAlign w:val="center"/>
          </w:tcPr>
          <w:p w14:paraId="3CCBD9D3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15.</w:t>
            </w:r>
          </w:p>
        </w:tc>
        <w:tc>
          <w:tcPr>
            <w:tcW w:w="6702" w:type="dxa"/>
          </w:tcPr>
          <w:p w14:paraId="73704386" w14:textId="77777777" w:rsidR="00246F6C" w:rsidRPr="007765C2" w:rsidRDefault="00246F6C" w:rsidP="00B74443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Możliwość podglądu wybranego monitora pacjenta na dowolnym komputerze PC z oprogramowaniem Windows podłączonym do wspólnej sieci ze stacją centralnego monitorowania. Podgląd za pomocą dedykowanego oprogramowania producenta oprogramowania centrali.</w:t>
            </w:r>
          </w:p>
        </w:tc>
        <w:tc>
          <w:tcPr>
            <w:tcW w:w="2410" w:type="dxa"/>
            <w:vAlign w:val="center"/>
          </w:tcPr>
          <w:p w14:paraId="34DB5DA6" w14:textId="4F89277D" w:rsidR="007765C2" w:rsidRPr="007765C2" w:rsidRDefault="00246F6C" w:rsidP="007765C2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7765C2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5EA4676B" w14:textId="5E3A9E0E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642063F6" w14:textId="77777777" w:rsidR="00246F6C" w:rsidRPr="007765C2" w:rsidRDefault="00246F6C" w:rsidP="00B7444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</w:tbl>
    <w:tbl>
      <w:tblPr>
        <w:tblStyle w:val="Tabela-Siatka1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6667"/>
        <w:gridCol w:w="2410"/>
        <w:gridCol w:w="4253"/>
      </w:tblGrid>
      <w:tr w:rsidR="00895EAC" w:rsidRPr="007765C2" w14:paraId="40428EC0" w14:textId="77777777" w:rsidTr="007B57C7">
        <w:trPr>
          <w:trHeight w:val="425"/>
        </w:trPr>
        <w:tc>
          <w:tcPr>
            <w:tcW w:w="14034" w:type="dxa"/>
            <w:gridSpan w:val="4"/>
            <w:shd w:val="clear" w:color="auto" w:fill="D9D9D9" w:themeFill="background1" w:themeFillShade="D9"/>
            <w:vAlign w:val="center"/>
          </w:tcPr>
          <w:p w14:paraId="6D96763A" w14:textId="77777777" w:rsidR="00895EAC" w:rsidRPr="007765C2" w:rsidRDefault="00895EAC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id="0" w:name="_Hlk221784856"/>
            <w:r w:rsidRPr="007765C2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895EAC" w:rsidRPr="007765C2" w14:paraId="68FA2C76" w14:textId="77777777" w:rsidTr="007765C2">
        <w:tc>
          <w:tcPr>
            <w:tcW w:w="704" w:type="dxa"/>
            <w:vAlign w:val="center"/>
          </w:tcPr>
          <w:p w14:paraId="546B2302" w14:textId="77777777" w:rsidR="00895EAC" w:rsidRPr="007765C2" w:rsidRDefault="00895EAC" w:rsidP="00895EAC">
            <w:pPr>
              <w:pStyle w:val="Akapitzlist"/>
              <w:widowControl w:val="0"/>
              <w:numPr>
                <w:ilvl w:val="0"/>
                <w:numId w:val="4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D2AD39A" w14:textId="77777777" w:rsidR="00895EAC" w:rsidRPr="007765C2" w:rsidRDefault="00895EAC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7765C2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4868C" w14:textId="77777777" w:rsidR="00895EAC" w:rsidRPr="007765C2" w:rsidRDefault="00895EAC" w:rsidP="007765C2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7765C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BAA8D43" w14:textId="77777777" w:rsidR="00895EAC" w:rsidRPr="007765C2" w:rsidRDefault="00895EAC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895EAC" w:rsidRPr="007765C2" w14:paraId="07066A98" w14:textId="77777777" w:rsidTr="007765C2">
        <w:tc>
          <w:tcPr>
            <w:tcW w:w="704" w:type="dxa"/>
            <w:vAlign w:val="center"/>
          </w:tcPr>
          <w:p w14:paraId="54793F03" w14:textId="77777777" w:rsidR="00895EAC" w:rsidRPr="007765C2" w:rsidRDefault="00895EAC" w:rsidP="00895EAC">
            <w:pPr>
              <w:pStyle w:val="Akapitzlist"/>
              <w:widowControl w:val="0"/>
              <w:numPr>
                <w:ilvl w:val="0"/>
                <w:numId w:val="4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A732A29" w14:textId="77777777" w:rsidR="00895EAC" w:rsidRPr="007765C2" w:rsidRDefault="00895EAC" w:rsidP="007B57C7">
            <w:pPr>
              <w:widowControl w:val="0"/>
              <w:textAlignment w:val="baseline"/>
              <w:rPr>
                <w:rFonts w:ascii="Aptos" w:hAnsi="Aptos"/>
                <w:sz w:val="20"/>
                <w:szCs w:val="20"/>
              </w:rPr>
            </w:pPr>
            <w:r w:rsidRPr="007765C2">
              <w:rPr>
                <w:rFonts w:ascii="Aptos" w:eastAsia="Calibri" w:hAnsi="Aptos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C0B2A" w14:textId="4F05B0CC" w:rsidR="00895EAC" w:rsidRPr="007765C2" w:rsidRDefault="007765C2" w:rsidP="007765C2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eastAsia="SimSun" w:hAnsi="Aptos"/>
                <w:kern w:val="2"/>
                <w:sz w:val="20"/>
                <w:szCs w:val="20"/>
                <w:lang w:eastAsia="hi-IN" w:bidi="hi-IN"/>
              </w:rPr>
              <w:t>TAK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4FBA2" w14:textId="77777777" w:rsidR="00895EAC" w:rsidRPr="007765C2" w:rsidRDefault="00895EAC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895EAC" w:rsidRPr="007765C2" w14:paraId="1A0B9DCC" w14:textId="77777777" w:rsidTr="007765C2">
        <w:tc>
          <w:tcPr>
            <w:tcW w:w="704" w:type="dxa"/>
            <w:vAlign w:val="center"/>
          </w:tcPr>
          <w:p w14:paraId="1C33FCB2" w14:textId="77777777" w:rsidR="00895EAC" w:rsidRPr="007765C2" w:rsidRDefault="00895EAC" w:rsidP="00895EAC">
            <w:pPr>
              <w:pStyle w:val="Akapitzlist"/>
              <w:widowControl w:val="0"/>
              <w:numPr>
                <w:ilvl w:val="0"/>
                <w:numId w:val="4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667" w:type="dxa"/>
            <w:vAlign w:val="center"/>
          </w:tcPr>
          <w:p w14:paraId="5F035EA1" w14:textId="199FDA31" w:rsidR="00895EAC" w:rsidRPr="007765C2" w:rsidRDefault="00895EAC" w:rsidP="00446947">
            <w:pPr>
              <w:rPr>
                <w:rFonts w:ascii="Aptos" w:hAnsi="Aptos"/>
                <w:sz w:val="20"/>
                <w:szCs w:val="20"/>
              </w:rPr>
            </w:pPr>
            <w:r w:rsidRPr="007765C2">
              <w:rPr>
                <w:rFonts w:ascii="Aptos" w:hAnsi="Aptos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</w:tc>
        <w:tc>
          <w:tcPr>
            <w:tcW w:w="2410" w:type="dxa"/>
            <w:vAlign w:val="center"/>
          </w:tcPr>
          <w:p w14:paraId="1F523B14" w14:textId="77777777" w:rsidR="00895EAC" w:rsidRPr="007765C2" w:rsidRDefault="00895EAC" w:rsidP="007765C2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7765C2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4253" w:type="dxa"/>
            <w:vAlign w:val="center"/>
          </w:tcPr>
          <w:p w14:paraId="30B13A05" w14:textId="77777777" w:rsidR="00895EAC" w:rsidRPr="007765C2" w:rsidRDefault="00895EAC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0"/>
    </w:tbl>
    <w:p w14:paraId="4AB155A1" w14:textId="77777777" w:rsidR="00895EAC" w:rsidRPr="007765C2" w:rsidRDefault="00895EAC" w:rsidP="00895EAC">
      <w:pPr>
        <w:rPr>
          <w:rFonts w:ascii="Aptos" w:hAnsi="Aptos"/>
          <w:sz w:val="20"/>
          <w:szCs w:val="20"/>
        </w:rPr>
      </w:pPr>
    </w:p>
    <w:p w14:paraId="450BC84D" w14:textId="77777777" w:rsidR="00246F6C" w:rsidRPr="007765C2" w:rsidRDefault="00246F6C" w:rsidP="00246F6C">
      <w:pPr>
        <w:contextualSpacing/>
        <w:rPr>
          <w:rFonts w:ascii="Aptos" w:hAnsi="Aptos" w:cstheme="majorHAnsi"/>
          <w:sz w:val="20"/>
          <w:szCs w:val="20"/>
        </w:rPr>
      </w:pPr>
    </w:p>
    <w:p w14:paraId="415521C2" w14:textId="77777777" w:rsidR="003902E0" w:rsidRPr="007765C2" w:rsidRDefault="003902E0" w:rsidP="003902E0">
      <w:pPr>
        <w:rPr>
          <w:rFonts w:ascii="Aptos" w:hAnsi="Aptos" w:cstheme="majorHAnsi"/>
          <w:sz w:val="20"/>
          <w:szCs w:val="20"/>
        </w:rPr>
      </w:pPr>
    </w:p>
    <w:p w14:paraId="59D7F64D" w14:textId="77777777" w:rsidR="00E93545" w:rsidRPr="007765C2" w:rsidRDefault="00E93545" w:rsidP="00E93545">
      <w:pPr>
        <w:rPr>
          <w:rFonts w:ascii="Aptos" w:hAnsi="Aptos" w:cstheme="majorHAnsi"/>
          <w:sz w:val="20"/>
          <w:szCs w:val="20"/>
        </w:rPr>
      </w:pPr>
    </w:p>
    <w:p w14:paraId="6B2CCFD0" w14:textId="77777777" w:rsidR="00BF65B3" w:rsidRPr="007765C2" w:rsidRDefault="00BF65B3" w:rsidP="00A57E8A">
      <w:pPr>
        <w:rPr>
          <w:rFonts w:ascii="Aptos" w:hAnsi="Aptos"/>
          <w:sz w:val="20"/>
          <w:szCs w:val="20"/>
        </w:rPr>
      </w:pPr>
    </w:p>
    <w:sectPr w:rsidR="00BF65B3" w:rsidRPr="007765C2" w:rsidSect="005A6C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4308C" w14:textId="77777777" w:rsidR="004434BB" w:rsidRDefault="004434BB" w:rsidP="007765C2">
      <w:r>
        <w:separator/>
      </w:r>
    </w:p>
  </w:endnote>
  <w:endnote w:type="continuationSeparator" w:id="0">
    <w:p w14:paraId="38AAF341" w14:textId="77777777" w:rsidR="004434BB" w:rsidRDefault="004434BB" w:rsidP="00776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BF93" w14:textId="77777777" w:rsidR="007765C2" w:rsidRDefault="007765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122F8" w14:textId="77777777" w:rsidR="007765C2" w:rsidRDefault="007765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B8D36" w14:textId="77777777" w:rsidR="007765C2" w:rsidRDefault="007765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89107" w14:textId="77777777" w:rsidR="004434BB" w:rsidRDefault="004434BB" w:rsidP="007765C2">
      <w:r>
        <w:separator/>
      </w:r>
    </w:p>
  </w:footnote>
  <w:footnote w:type="continuationSeparator" w:id="0">
    <w:p w14:paraId="27F94FE8" w14:textId="77777777" w:rsidR="004434BB" w:rsidRDefault="004434BB" w:rsidP="00776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795A0" w14:textId="77777777" w:rsidR="007765C2" w:rsidRDefault="007765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06C24" w14:textId="0E5AD614" w:rsidR="007765C2" w:rsidRDefault="007765C2">
    <w:pPr>
      <w:pStyle w:val="Nagwek"/>
    </w:pPr>
    <w:r>
      <w:rPr>
        <w:noProof/>
      </w:rPr>
      <w:drawing>
        <wp:inline distT="0" distB="0" distL="0" distR="0" wp14:anchorId="4DD37DDA" wp14:editId="45900410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6637" w14:textId="77777777" w:rsidR="007765C2" w:rsidRDefault="007765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52EDE"/>
    <w:multiLevelType w:val="hybridMultilevel"/>
    <w:tmpl w:val="5186E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F094D"/>
    <w:multiLevelType w:val="hybridMultilevel"/>
    <w:tmpl w:val="8F509C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522F4"/>
    <w:multiLevelType w:val="hybridMultilevel"/>
    <w:tmpl w:val="2184079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787145">
    <w:abstractNumId w:val="2"/>
  </w:num>
  <w:num w:numId="2" w16cid:durableId="1003505658">
    <w:abstractNumId w:val="1"/>
  </w:num>
  <w:num w:numId="3" w16cid:durableId="232089282">
    <w:abstractNumId w:val="3"/>
  </w:num>
  <w:num w:numId="4" w16cid:durableId="1982032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F9"/>
    <w:rsid w:val="00055D5C"/>
    <w:rsid w:val="00246F6C"/>
    <w:rsid w:val="003902E0"/>
    <w:rsid w:val="004434BB"/>
    <w:rsid w:val="00446947"/>
    <w:rsid w:val="004B4966"/>
    <w:rsid w:val="005A6CF9"/>
    <w:rsid w:val="005F2529"/>
    <w:rsid w:val="007765C2"/>
    <w:rsid w:val="00895EAC"/>
    <w:rsid w:val="00A57E8A"/>
    <w:rsid w:val="00B625E5"/>
    <w:rsid w:val="00BF65B3"/>
    <w:rsid w:val="00E146BF"/>
    <w:rsid w:val="00E31574"/>
    <w:rsid w:val="00E93545"/>
    <w:rsid w:val="00F80F46"/>
    <w:rsid w:val="00FD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BAC9"/>
  <w15:chartTrackingRefBased/>
  <w15:docId w15:val="{9B8C9B55-9AC6-4738-A88B-E356E2B6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E8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6C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C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C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C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C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C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C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C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C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C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C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C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C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C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C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C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C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C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C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C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C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C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A6C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C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C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C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CF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6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5A6CF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rsid w:val="005A6CF9"/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link w:val="Akapitzlist"/>
    <w:uiPriority w:val="34"/>
    <w:rsid w:val="00A57E8A"/>
  </w:style>
  <w:style w:type="paragraph" w:customStyle="1" w:styleId="Style10">
    <w:name w:val="Style10"/>
    <w:basedOn w:val="Normalny"/>
    <w:rsid w:val="00E93545"/>
    <w:pPr>
      <w:widowControl w:val="0"/>
      <w:autoSpaceDE w:val="0"/>
      <w:jc w:val="center"/>
    </w:pPr>
    <w:rPr>
      <w:rFonts w:ascii="Trebuchet MS" w:hAnsi="Trebuchet MS" w:cs="Trebuchet MS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895EAC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765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65C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65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65C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DA6693-C832-4EB5-9D8F-EC99EC467B1B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B30168E7-3638-495C-8C7C-D8C3FC35B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7B63B-E248-4C5C-AAA5-7FC0B3765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402</Words>
  <Characters>2415</Characters>
  <Application>Microsoft Office Word</Application>
  <DocSecurity>0</DocSecurity>
  <Lines>20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Noga</dc:creator>
  <cp:keywords/>
  <dc:description/>
  <cp:lastModifiedBy>Niespodzianska, Joanna</cp:lastModifiedBy>
  <cp:revision>5</cp:revision>
  <dcterms:created xsi:type="dcterms:W3CDTF">2026-01-27T12:16:00Z</dcterms:created>
  <dcterms:modified xsi:type="dcterms:W3CDTF">2026-04-02T11:20:00Z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